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珙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县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教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育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和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体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育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</w:rPr>
        <w:t>局</w:t>
      </w:r>
    </w:p>
    <w:p>
      <w:pPr>
        <w:spacing w:line="680" w:lineRule="exact"/>
        <w:jc w:val="center"/>
        <w:rPr>
          <w:rFonts w:ascii="方正小标宋简体" w:hAnsi="仿宋" w:eastAsia="方正小标宋简体" w:cs="方正小标宋简体"/>
          <w:color w:val="000000" w:themeColor="text1"/>
          <w:spacing w:val="-11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pacing w:val="-11"/>
          <w:sz w:val="44"/>
          <w:szCs w:val="44"/>
        </w:rPr>
        <w:t>珙县人力资源和社会保障局</w:t>
      </w:r>
    </w:p>
    <w:p>
      <w:pPr>
        <w:spacing w:line="680" w:lineRule="exact"/>
        <w:jc w:val="left"/>
        <w:rPr>
          <w:rFonts w:ascii="方正小标宋简体" w:hAnsi="仿宋" w:eastAsia="方正小标宋简体" w:cs="Times New Roman"/>
          <w:color w:val="000000" w:themeColor="text1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pacing w:val="-20"/>
          <w:sz w:val="44"/>
          <w:szCs w:val="44"/>
        </w:rPr>
        <w:t>关于</w:t>
      </w:r>
      <w:bookmarkStart w:id="0" w:name="_Hlk487789589"/>
      <w:r>
        <w:rPr>
          <w:rFonts w:ascii="方正小标宋简体" w:hAnsi="仿宋" w:eastAsia="方正小标宋简体" w:cs="方正小标宋简体"/>
          <w:color w:val="000000" w:themeColor="text1"/>
          <w:spacing w:val="-20"/>
          <w:sz w:val="44"/>
          <w:szCs w:val="44"/>
        </w:rPr>
        <w:t>201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-20"/>
          <w:sz w:val="44"/>
          <w:szCs w:val="44"/>
        </w:rPr>
        <w:t>9年珙县公开选聘在编在职教师</w:t>
      </w:r>
      <w:bookmarkEnd w:id="0"/>
      <w:r>
        <w:rPr>
          <w:rFonts w:hint="eastAsia" w:ascii="方正小标宋简体" w:hAnsi="仿宋" w:eastAsia="方正小标宋简体" w:cs="方正小标宋简体"/>
          <w:color w:val="000000" w:themeColor="text1"/>
          <w:spacing w:val="-20"/>
          <w:sz w:val="44"/>
          <w:szCs w:val="44"/>
        </w:rPr>
        <w:t>的公告</w:t>
      </w:r>
    </w:p>
    <w:p>
      <w:pPr>
        <w:spacing w:line="596" w:lineRule="exact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ascii="µÈÏß Western" w:hAnsi="µÈÏß Western" w:eastAsia="仿宋" w:cs="Times New Roman"/>
          <w:color w:val="000000" w:themeColor="text1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根据珙县教育事业发展需要，经研究，决定面向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县内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公开选聘在编在职教师，现将有关事项公告如下：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一、选聘名额及岗位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选聘名额25个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具体岗位详见《2019年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珙县暑期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公开选聘在编在职教师岗位表》。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二、选聘条件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（一）基本条件。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珙县县内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公办学校在编在职教师。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2.2014年8月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日前参加教学工作（以公办学校在编在职的时间为准）。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3.年龄在50周岁及以下（截止本次报名结束之日201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日未满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周岁，以身份证上的出生日期为准）。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遵纪守法，品行端正，未受过刑事处罚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的人员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尚未解除党纪、政纪处分的人员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违法、违纪行为正在接受审查的人员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不得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选聘）。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国民教育本科及以上学历（村小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放宽到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国民教育专科及以上学历）。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6.近五年的年度考核均为合格及以上等次（2014年参加工作的人员，见习期的年度考核结果视同为合格）。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（二）岗位条件。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近五年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指201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学年、2015-2016学年、2016-2017学年、2017-2018学年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至少有三年从教学段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指中学学段和小学学段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学科与选聘岗位的学段学科相一致，且持有相应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的教师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资格证。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三、选聘程序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（一）报名。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黑体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1.报名时间。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2019年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日-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8月19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日上午9:00-12:00，下午14:30-17:00。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2.报名地点。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珙县教育和体育局政工股（珙县体育中心幸福馆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材料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。报名须出具本人身份证、学历（学位）证、教师资格证、职称资格证、普通话证书（验原件，交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印件），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五年中其中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三年与申报岗位学段学科一致的教学业绩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（指县级质量监测成绩排序情况表，需县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教师资源与学习中心相关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负责人验件签字并加盖公章），一寸半身免冠近期彩色同底证件照片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张。材料必须现场提供，材料不齐、不实者均不予报名。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4.报名登记。经资格初审合格后，填写《2019年珙县暑期公开选聘在编在职教师报名表》（一式两份），经工作人员审核并签字认可后予以登记报名。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（二）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:lang w:val="en-US" w:eastAsia="zh-CN"/>
        </w:rPr>
        <w:t>选聘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1.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</w:rPr>
        <w:t>选聘方式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。按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所提供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学科教学质量差异指数与岗位的匹配度从高到低1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1确定拟聘人选。三年学科教学质量差异指数是指县级质量监测成绩排序名次的总和，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数值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小的匹配度高。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黑体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报考人员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三年学科教学质量差异指数相同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出现并列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再取四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年学科教学质量差异指数，类似情况以此类推。在类推中，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如有一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年学科质量监测成绩排序无名次，学科教学质量差异指数取全县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综合排名的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平均值。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2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</w:rPr>
        <w:t>.情况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</w:rPr>
        <w:t>公示。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</w:rPr>
        <w:t>选聘排名情况将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在珙县人民政府网站（网址：</w:t>
      </w:r>
      <w:bookmarkStart w:id="1" w:name="_Hlk11340551"/>
      <w:r>
        <w:rPr>
          <w:rFonts w:ascii="仿宋" w:hAnsi="仿宋" w:eastAsia="仿宋" w:cs="仿宋"/>
          <w:color w:val="000000" w:themeColor="text1"/>
          <w:sz w:val="32"/>
          <w:szCs w:val="32"/>
        </w:rPr>
        <w:t>http://www.gongxian.gov.cn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/</w:t>
      </w:r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（三）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:lang w:eastAsia="zh-CN"/>
        </w:rPr>
        <w:t>考核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主要是对拟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教师的政治思想、品德修养、工作表现、年度考核情况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及报考资格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等进行考核审查。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不合格的，取消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资格。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递补。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不合格、考生自动放弃或违规违纪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等情况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出现的缺额，可根据该岗位空缺名额，按照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仿宋" w:eastAsia="楷体_GB2312" w:cs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（五）公示。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合格后确定的拟聘用人员将在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珙县人民政府网站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上公示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个工作日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在公示期内，凡举报者应以真实姓名实事求是地反映问题，并提供必要的调查线索。凡以匿名或其他方式反映的问题不予受理。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2.对公示期间反映有问题并查有实据、不符合选聘条件的，取消被公示人聘用资格。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</w:rPr>
        <w:t>（六）聘用。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经公示无异议者，按现行事业单位人事制度办理聘用手续。所有选聘人员须于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9年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5日前到岗，且须在规定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内完善相关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手续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否则取消聘用。选聘人员按照事业单位岗位设置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有关规定参加聘用学校的岗位竞聘，服从选聘学校岗位竞聘方案管理。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四、特别提示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选聘人员提供的学历、资格证书等报名资料应当真实、准确，选聘人员如隐瞒有关情况或提供虚假信息的，一经查实，按《事业单位工作人员处分暂行规定》、《四川省事业单位人员聘用制管理试行办法》及相关违规违纪规定处理，并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（二）请选聘人员确保联系方式正确、畅通。否则因无法与选聘人员取得联系所造成的后果，由选聘人员自行负责。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五、本公告未尽事宜，由珙县教育和体育局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珙县人力资源和社会保障局负责解释。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</w:rPr>
        <w:t>公告发布网址：珙县人民政府网站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珙县教育和体育局咨询电话：</w:t>
      </w:r>
      <w:bookmarkStart w:id="2" w:name="_Hlk485115481"/>
      <w:r>
        <w:rPr>
          <w:rFonts w:ascii="仿宋" w:hAnsi="仿宋" w:eastAsia="仿宋" w:cs="仿宋"/>
          <w:color w:val="000000" w:themeColor="text1"/>
          <w:sz w:val="32"/>
          <w:szCs w:val="32"/>
        </w:rPr>
        <w:t>0831—4039865</w:t>
      </w:r>
      <w:bookmarkEnd w:id="2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  <w:r>
        <w:rPr>
          <w:rFonts w:ascii="µÈÏß Western" w:hAnsi="µÈÏß Western" w:eastAsia="仿宋" w:cs="Times New Roman"/>
          <w:color w:val="000000" w:themeColor="text1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珙县人力资源和社会保障局咨询电话：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0831—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4311215。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附件：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1.</w:t>
      </w:r>
      <w:bookmarkStart w:id="3" w:name="_Hlk487792396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珙县暑期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公开选聘在编在职教师岗位表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2.</w:t>
      </w:r>
      <w:bookmarkEnd w:id="3"/>
      <w:r>
        <w:rPr>
          <w:rFonts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珙县暑期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公开选聘在编在职教师报名表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珙县教育和体育局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珙县人力资源和社会保障局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</w:p>
    <w:p>
      <w:pPr>
        <w:spacing w:line="596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96" w:lineRule="exact"/>
        <w:ind w:firstLine="4480" w:firstLineChars="1400"/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4" w:name="_GoBack"/>
      <w:bookmarkEnd w:id="4"/>
    </w:p>
    <w:p>
      <w:pPr>
        <w:spacing w:line="596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附件1</w:t>
      </w:r>
    </w:p>
    <w:p>
      <w:pPr>
        <w:spacing w:line="596" w:lineRule="exact"/>
        <w:jc w:val="center"/>
        <w:outlineLvl w:val="0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  <w:t>2019年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</w:rPr>
        <w:t>珙县暑期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  <w:t>公开选聘在编在职教师岗位表</w:t>
      </w:r>
    </w:p>
    <w:tbl>
      <w:tblPr>
        <w:tblStyle w:val="4"/>
        <w:tblW w:w="8966" w:type="dxa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47"/>
        <w:gridCol w:w="783"/>
        <w:gridCol w:w="733"/>
        <w:gridCol w:w="767"/>
        <w:gridCol w:w="1033"/>
        <w:gridCol w:w="2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选聘学科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选聘名额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选聘范围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所需教师资格类别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珙县杉木树中学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20190802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珙县杉木树中学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珙县杉木树中学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20190804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珙县杉木树中学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初中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20190805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珙县巡场镇第二小学校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20190806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珙县巡场镇第二小学校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20190807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珙县巡场镇第二小学校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20190808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珙县巡场镇第二小学校天池村小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20190809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珙县米市街小学校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20190810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珙县米市街小学校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小学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20190811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珙县第一高级中学校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20190812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珙县第一高级中学校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20190813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珙县第一高级中学校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20190814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珙县第一高级中学校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县内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本单位最低服务年限3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调动。</w:t>
            </w:r>
          </w:p>
        </w:tc>
      </w:tr>
    </w:tbl>
    <w:p>
      <w:pPr>
        <w:widowControl/>
        <w:spacing w:line="596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96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附件2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</w:rPr>
      </w:pPr>
      <w:r>
        <w:rPr>
          <w:rFonts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</w:rPr>
        <w:t>9年珙县暑期公开选聘在编在职教师报名表</w:t>
      </w:r>
    </w:p>
    <w:tbl>
      <w:tblPr>
        <w:tblStyle w:val="4"/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20"/>
        <w:gridCol w:w="236"/>
        <w:gridCol w:w="711"/>
        <w:gridCol w:w="133"/>
        <w:gridCol w:w="967"/>
        <w:gridCol w:w="865"/>
        <w:gridCol w:w="720"/>
        <w:gridCol w:w="472"/>
        <w:gridCol w:w="901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出生年月日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学历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身份证号码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学位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pacing w:val="-20"/>
                <w:kern w:val="0"/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</w:rPr>
              <w:t>毕业院校及专业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家庭住址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pacing w:val="-20"/>
                <w:kern w:val="0"/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</w:rPr>
              <w:t>现工作单位</w:t>
            </w:r>
            <w:r>
              <w:rPr>
                <w:rFonts w:hint="eastAsia" w:cs="仿宋_GB2312"/>
                <w:color w:val="000000" w:themeColor="text1"/>
                <w:spacing w:val="-20"/>
                <w:kern w:val="0"/>
              </w:rPr>
              <w:t>(</w:t>
            </w:r>
            <w:r>
              <w:rPr>
                <w:rFonts w:hint="eastAsia"/>
                <w:color w:val="000000" w:themeColor="text1"/>
                <w:spacing w:val="-20"/>
                <w:kern w:val="0"/>
              </w:rPr>
              <w:t>具体到校区</w:t>
            </w:r>
            <w:r>
              <w:rPr>
                <w:rFonts w:hint="eastAsia" w:cs="仿宋_GB2312"/>
                <w:color w:val="000000" w:themeColor="text1"/>
                <w:spacing w:val="-20"/>
                <w:kern w:val="0"/>
              </w:rPr>
              <w:t>)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档案身份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参加工作时间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现工作岗位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000000" w:themeColor="text1"/>
                <w:kern w:val="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</w:rPr>
              <w:t>教师资格证类型及证书</w:t>
            </w:r>
            <w:r>
              <w:rPr>
                <w:rFonts w:hint="eastAsia"/>
                <w:color w:val="000000" w:themeColor="text1"/>
                <w:kern w:val="0"/>
                <w:lang w:val="en-US" w:eastAsia="zh-CN"/>
              </w:rPr>
              <w:t>编号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及现聘等级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5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近五年任教情况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近五年年度考核情况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年度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任教班级、学科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</w:rPr>
              <w:t>综合排名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年度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</w:rPr>
              <w:t>2013-2014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2013-2014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2014-2015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2014-2015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2015-2016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</w:rPr>
              <w:t>2015-2016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2016-2017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2016-2017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</w:rPr>
              <w:t>2017-2018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2017-2018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具备选聘</w:t>
            </w:r>
          </w:p>
          <w:p>
            <w:pPr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条件情况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个人简历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（请从小学读书分段填写至今）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身份证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复印件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粘贴处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选聘人承诺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我已仔细阅读本次考调公告，理解其内容，本人郑重承诺：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报名时我所填写的基本信息真实可靠，所提供的证书、证件及</w:t>
            </w:r>
            <w:r>
              <w:rPr>
                <w:rFonts w:hint="eastAsia" w:hAnsi="宋体"/>
                <w:color w:val="000000" w:themeColor="text1"/>
                <w:kern w:val="0"/>
                <w:lang w:val="en-US" w:eastAsia="zh-CN"/>
              </w:rPr>
              <w:t>证明</w:t>
            </w:r>
            <w:r>
              <w:rPr>
                <w:rFonts w:hint="eastAsia" w:hAnsi="宋体"/>
                <w:color w:val="000000" w:themeColor="text1"/>
                <w:kern w:val="0"/>
              </w:rPr>
              <w:t>等报名材料真实有效。</w:t>
            </w:r>
          </w:p>
          <w:p>
            <w:pPr>
              <w:ind w:firstLine="420" w:firstLineChars="200"/>
              <w:jc w:val="left"/>
              <w:rPr>
                <w:rFonts w:hint="eastAsia"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jc w:val="left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 xml:space="preserve"> </w:t>
            </w:r>
            <w:r>
              <w:rPr>
                <w:rFonts w:hint="eastAsia" w:hAnsi="宋体"/>
                <w:color w:val="000000" w:themeColor="text1"/>
                <w:kern w:val="0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 w:themeColor="text1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本人签名：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以下内容由工作人员填写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审查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意见</w:t>
            </w:r>
          </w:p>
        </w:tc>
        <w:tc>
          <w:tcPr>
            <w:tcW w:w="83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cs="Times New Roman"/>
                <w:b/>
                <w:bCs/>
                <w:color w:val="000000" w:themeColor="text1"/>
                <w:kern w:val="0"/>
                <w:lang w:val="en-US"/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同 意 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报 名 登 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资格初审人签字：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Times New Roman"/>
                <w:color w:val="000000" w:themeColor="text1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</w:rPr>
            </w:pPr>
            <w:r>
              <w:rPr>
                <w:rFonts w:hint="eastAsia" w:hAnsi="宋体"/>
                <w:color w:val="000000" w:themeColor="text1"/>
                <w:kern w:val="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资格终审人签字：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年   月   日</w:t>
            </w:r>
          </w:p>
        </w:tc>
      </w:tr>
    </w:tbl>
    <w:p>
      <w:pPr>
        <w:spacing w:line="596" w:lineRule="exact"/>
        <w:jc w:val="left"/>
        <w:rPr>
          <w:rFonts w:cs="Times New Roman"/>
          <w:color w:val="000000" w:themeColor="text1"/>
        </w:rPr>
      </w:pPr>
      <w:r>
        <w:rPr>
          <w:rFonts w:hint="eastAsia"/>
          <w:color w:val="000000" w:themeColor="text1"/>
        </w:rPr>
        <w:t>注：本表请双面打印，一式二份。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C6BAB9"/>
    <w:multiLevelType w:val="singleLevel"/>
    <w:tmpl w:val="D4C6BAB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A87E6C"/>
    <w:rsid w:val="00010221"/>
    <w:rsid w:val="00082BC8"/>
    <w:rsid w:val="000D5476"/>
    <w:rsid w:val="001A150E"/>
    <w:rsid w:val="00245A2D"/>
    <w:rsid w:val="002C16AD"/>
    <w:rsid w:val="002C25D4"/>
    <w:rsid w:val="00310C87"/>
    <w:rsid w:val="004C2FED"/>
    <w:rsid w:val="004E1417"/>
    <w:rsid w:val="00590437"/>
    <w:rsid w:val="007306E9"/>
    <w:rsid w:val="00863DBD"/>
    <w:rsid w:val="009428E8"/>
    <w:rsid w:val="009E720A"/>
    <w:rsid w:val="00AB1C43"/>
    <w:rsid w:val="00B35342"/>
    <w:rsid w:val="00C03308"/>
    <w:rsid w:val="00CB2705"/>
    <w:rsid w:val="00D46395"/>
    <w:rsid w:val="00DE296E"/>
    <w:rsid w:val="00EF7B9E"/>
    <w:rsid w:val="06817EBB"/>
    <w:rsid w:val="078A4BA2"/>
    <w:rsid w:val="09E457E4"/>
    <w:rsid w:val="0CEF393D"/>
    <w:rsid w:val="0E3D12D8"/>
    <w:rsid w:val="0EBE089A"/>
    <w:rsid w:val="0EEB6927"/>
    <w:rsid w:val="105708A6"/>
    <w:rsid w:val="112E6735"/>
    <w:rsid w:val="136926EB"/>
    <w:rsid w:val="13775E59"/>
    <w:rsid w:val="16C0777C"/>
    <w:rsid w:val="1B1F7461"/>
    <w:rsid w:val="1B727679"/>
    <w:rsid w:val="216C711B"/>
    <w:rsid w:val="228D7CBD"/>
    <w:rsid w:val="24B13068"/>
    <w:rsid w:val="24D24107"/>
    <w:rsid w:val="25BE494A"/>
    <w:rsid w:val="28EC2B0F"/>
    <w:rsid w:val="29815B3C"/>
    <w:rsid w:val="34240467"/>
    <w:rsid w:val="3588351E"/>
    <w:rsid w:val="3759268D"/>
    <w:rsid w:val="3B570BE2"/>
    <w:rsid w:val="3CE7650A"/>
    <w:rsid w:val="42E56E50"/>
    <w:rsid w:val="45E350CB"/>
    <w:rsid w:val="47DA1E43"/>
    <w:rsid w:val="4AA87E6C"/>
    <w:rsid w:val="4F482850"/>
    <w:rsid w:val="50C27A22"/>
    <w:rsid w:val="54A65980"/>
    <w:rsid w:val="57CE4E00"/>
    <w:rsid w:val="57FA5B0D"/>
    <w:rsid w:val="59A03323"/>
    <w:rsid w:val="59D10295"/>
    <w:rsid w:val="5E802B8B"/>
    <w:rsid w:val="5F427E63"/>
    <w:rsid w:val="608763B0"/>
    <w:rsid w:val="615F758F"/>
    <w:rsid w:val="64E42F70"/>
    <w:rsid w:val="6A927AE2"/>
    <w:rsid w:val="6B0156C8"/>
    <w:rsid w:val="6D3F65C1"/>
    <w:rsid w:val="6E661AB0"/>
    <w:rsid w:val="6F1A4B8D"/>
    <w:rsid w:val="6F5354BC"/>
    <w:rsid w:val="701F7BC1"/>
    <w:rsid w:val="71225E6C"/>
    <w:rsid w:val="76EC7632"/>
    <w:rsid w:val="77812E36"/>
    <w:rsid w:val="78963467"/>
    <w:rsid w:val="7ABA724A"/>
    <w:rsid w:val="7B0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566</Words>
  <Characters>3231</Characters>
  <Lines>26</Lines>
  <Paragraphs>7</Paragraphs>
  <TotalTime>68</TotalTime>
  <ScaleCrop>false</ScaleCrop>
  <LinksUpToDate>false</LinksUpToDate>
  <CharactersWithSpaces>3790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2019-08-03T09:06:00Z</dcterms:created>
  <dc:creator>琴</dc:creator>
  <cp:lastModifiedBy>琴</cp:lastModifiedBy>
  <cp:lastPrinted>2019-08-15T02:57:00Z</cp:lastPrinted>
  <dcterms:modified xsi:type="dcterms:W3CDTF">2019-08-15T09:15:52Z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